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BC1" w:rsidRDefault="00C87BC1" w:rsidP="00C87BC1">
      <w:pPr>
        <w:pStyle w:val="a6"/>
        <w:spacing w:line="300" w:lineRule="exact"/>
        <w:rPr>
          <w:rFonts w:ascii="微软雅黑" w:eastAsia="微软雅黑" w:hAnsi="微软雅黑" w:hint="default"/>
          <w:color w:val="C00000"/>
          <w:sz w:val="24"/>
          <w:szCs w:val="24"/>
        </w:rPr>
      </w:pPr>
    </w:p>
    <w:p w:rsidR="007830AF" w:rsidRPr="00C87BC1" w:rsidRDefault="009A4B57" w:rsidP="00C87BC1">
      <w:pPr>
        <w:pStyle w:val="a6"/>
        <w:spacing w:line="300" w:lineRule="exact"/>
        <w:rPr>
          <w:rFonts w:ascii="微软雅黑" w:eastAsia="微软雅黑" w:hAnsi="微软雅黑" w:hint="default"/>
          <w:color w:val="C00000"/>
          <w:sz w:val="24"/>
          <w:szCs w:val="24"/>
        </w:rPr>
      </w:pPr>
      <w:r w:rsidRPr="00C87BC1">
        <w:rPr>
          <w:rFonts w:ascii="微软雅黑" w:eastAsia="微软雅黑" w:hAnsi="微软雅黑"/>
          <w:color w:val="C00000"/>
          <w:sz w:val="24"/>
          <w:szCs w:val="24"/>
        </w:rPr>
        <w:t>中华人民共和国最高人民法院</w:t>
      </w:r>
    </w:p>
    <w:p w:rsidR="007830AF" w:rsidRDefault="009A4B57" w:rsidP="00C87BC1">
      <w:pPr>
        <w:pStyle w:val="a6"/>
        <w:spacing w:line="300" w:lineRule="exact"/>
        <w:rPr>
          <w:rFonts w:ascii="微软雅黑" w:eastAsia="微软雅黑" w:hAnsi="微软雅黑" w:hint="default"/>
          <w:color w:val="C00000"/>
          <w:sz w:val="24"/>
          <w:szCs w:val="24"/>
        </w:rPr>
      </w:pPr>
      <w:r w:rsidRPr="00C87BC1">
        <w:rPr>
          <w:rFonts w:ascii="微软雅黑" w:eastAsia="微软雅黑" w:hAnsi="微软雅黑"/>
          <w:color w:val="C00000"/>
          <w:sz w:val="24"/>
          <w:szCs w:val="24"/>
        </w:rPr>
        <w:t>公    告</w:t>
      </w:r>
    </w:p>
    <w:p w:rsidR="00EF1CE1" w:rsidRPr="00C87BC1" w:rsidRDefault="00EF1CE1" w:rsidP="00C87BC1">
      <w:pPr>
        <w:pStyle w:val="a6"/>
        <w:spacing w:line="300" w:lineRule="exact"/>
        <w:rPr>
          <w:rFonts w:ascii="微软雅黑" w:eastAsia="微软雅黑" w:hAnsi="微软雅黑"/>
          <w:color w:val="C00000"/>
          <w:sz w:val="24"/>
          <w:szCs w:val="24"/>
        </w:rPr>
      </w:pPr>
    </w:p>
    <w:p w:rsidR="00EF1CE1" w:rsidRPr="00EF1CE1" w:rsidRDefault="00EF1CE1" w:rsidP="00EF1CE1">
      <w:pPr>
        <w:widowControl/>
        <w:spacing w:line="280" w:lineRule="exact"/>
        <w:jc w:val="left"/>
        <w:rPr>
          <w:rFonts w:ascii="宋体" w:hAnsi="宋体" w:cs="宋体"/>
          <w:kern w:val="0"/>
          <w:sz w:val="24"/>
        </w:rPr>
      </w:pPr>
      <w:r w:rsidRPr="00EF1CE1">
        <w:rPr>
          <w:rFonts w:ascii="微软雅黑" w:eastAsia="微软雅黑" w:hAnsi="微软雅黑" w:cs="宋体" w:hint="eastAsia"/>
          <w:color w:val="2F2F2F"/>
          <w:kern w:val="0"/>
          <w:sz w:val="24"/>
          <w:shd w:val="clear" w:color="auto" w:fill="FFFFFF"/>
        </w:rPr>
        <w:t>       《最高人民法院关于适用〈中华人民共和国涉外民事关系法律适用法〉若干问题的解释（一）》已于2012年12月10日由最高人民法院审判委员会第1563次会议通过，现予公布，自2013年1月7日起施行。</w:t>
      </w:r>
    </w:p>
    <w:p w:rsidR="00EF1CE1" w:rsidRPr="00EF1CE1" w:rsidRDefault="00EF1CE1" w:rsidP="00EF1CE1">
      <w:pPr>
        <w:widowControl/>
        <w:shd w:val="clear" w:color="auto" w:fill="FFFFFF"/>
        <w:spacing w:line="280" w:lineRule="exact"/>
        <w:ind w:firstLine="5100"/>
        <w:jc w:val="right"/>
        <w:rPr>
          <w:rFonts w:ascii="微软雅黑" w:eastAsia="微软雅黑" w:hAnsi="微软雅黑" w:cs="宋体"/>
          <w:color w:val="2F2F2F"/>
          <w:kern w:val="0"/>
          <w:sz w:val="24"/>
        </w:rPr>
      </w:pPr>
      <w:r w:rsidRPr="00EF1CE1">
        <w:rPr>
          <w:rFonts w:ascii="微软雅黑" w:eastAsia="微软雅黑" w:hAnsi="微软雅黑" w:cs="宋体" w:hint="eastAsia"/>
          <w:color w:val="2F2F2F"/>
          <w:kern w:val="0"/>
          <w:sz w:val="24"/>
        </w:rPr>
        <w:t>最高人民法院</w:t>
      </w:r>
    </w:p>
    <w:p w:rsidR="00EF1CE1" w:rsidRPr="00EF1CE1" w:rsidRDefault="00EF1CE1" w:rsidP="00EF1CE1">
      <w:pPr>
        <w:widowControl/>
        <w:shd w:val="clear" w:color="auto" w:fill="FFFFFF"/>
        <w:spacing w:line="280" w:lineRule="exact"/>
        <w:ind w:firstLine="4800"/>
        <w:jc w:val="right"/>
        <w:rPr>
          <w:rFonts w:ascii="微软雅黑" w:eastAsia="微软雅黑" w:hAnsi="微软雅黑" w:cs="宋体" w:hint="eastAsia"/>
          <w:color w:val="2F2F2F"/>
          <w:kern w:val="0"/>
          <w:sz w:val="24"/>
        </w:rPr>
      </w:pPr>
      <w:r w:rsidRPr="00EF1CE1">
        <w:rPr>
          <w:rFonts w:ascii="微软雅黑" w:eastAsia="微软雅黑" w:hAnsi="微软雅黑" w:cs="宋体" w:hint="eastAsia"/>
          <w:color w:val="2F2F2F"/>
          <w:kern w:val="0"/>
          <w:sz w:val="24"/>
        </w:rPr>
        <w:t>2012年12月28日</w:t>
      </w:r>
    </w:p>
    <w:p w:rsidR="00EF1CE1" w:rsidRPr="00EF1CE1" w:rsidRDefault="00EF1CE1" w:rsidP="00EF1CE1">
      <w:pPr>
        <w:widowControl/>
        <w:shd w:val="clear" w:color="auto" w:fill="FFFFFF"/>
        <w:spacing w:after="150" w:line="28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color w:val="2F2F2F"/>
          <w:kern w:val="0"/>
          <w:sz w:val="24"/>
        </w:rPr>
        <w:t> </w:t>
      </w:r>
    </w:p>
    <w:p w:rsidR="00EF1CE1" w:rsidRPr="00EF1CE1" w:rsidRDefault="00EF1CE1" w:rsidP="00EF1CE1">
      <w:pPr>
        <w:widowControl/>
        <w:shd w:val="clear" w:color="auto" w:fill="FFFFFF"/>
        <w:spacing w:line="280" w:lineRule="exact"/>
        <w:jc w:val="center"/>
        <w:rPr>
          <w:rFonts w:ascii="微软雅黑" w:eastAsia="微软雅黑" w:hAnsi="微软雅黑" w:cs="宋体" w:hint="eastAsia"/>
          <w:color w:val="2F2F2F"/>
          <w:kern w:val="0"/>
          <w:sz w:val="24"/>
        </w:rPr>
      </w:pPr>
    </w:p>
    <w:p w:rsidR="00EF1CE1" w:rsidRPr="00EF1CE1" w:rsidRDefault="00EF1CE1" w:rsidP="00EF1CE1">
      <w:pPr>
        <w:widowControl/>
        <w:shd w:val="clear" w:color="auto" w:fill="FFFFFF"/>
        <w:spacing w:line="600" w:lineRule="exact"/>
        <w:jc w:val="center"/>
        <w:rPr>
          <w:rFonts w:ascii="微软雅黑" w:eastAsia="微软雅黑" w:hAnsi="微软雅黑" w:cs="宋体" w:hint="eastAsia"/>
          <w:color w:val="7030A0"/>
          <w:kern w:val="0"/>
          <w:sz w:val="40"/>
          <w:szCs w:val="40"/>
        </w:rPr>
      </w:pPr>
      <w:r w:rsidRPr="00EF1CE1">
        <w:rPr>
          <w:rFonts w:ascii="微软雅黑" w:eastAsia="微软雅黑" w:hAnsi="微软雅黑" w:cs="宋体" w:hint="eastAsia"/>
          <w:b/>
          <w:bCs/>
          <w:color w:val="7030A0"/>
          <w:kern w:val="0"/>
          <w:sz w:val="40"/>
          <w:szCs w:val="40"/>
        </w:rPr>
        <w:t>最高人民法院关于适用</w:t>
      </w:r>
      <w:bookmarkStart w:id="0" w:name="_GoBack"/>
      <w:bookmarkEnd w:id="0"/>
    </w:p>
    <w:p w:rsidR="00EF1CE1" w:rsidRPr="00EF1CE1" w:rsidRDefault="00EF1CE1" w:rsidP="00EF1CE1">
      <w:pPr>
        <w:widowControl/>
        <w:shd w:val="clear" w:color="auto" w:fill="FFFFFF"/>
        <w:spacing w:line="600" w:lineRule="exact"/>
        <w:jc w:val="center"/>
        <w:rPr>
          <w:rFonts w:ascii="微软雅黑" w:eastAsia="微软雅黑" w:hAnsi="微软雅黑" w:cs="宋体" w:hint="eastAsia"/>
          <w:color w:val="7030A0"/>
          <w:kern w:val="0"/>
          <w:sz w:val="40"/>
          <w:szCs w:val="40"/>
        </w:rPr>
      </w:pPr>
      <w:r w:rsidRPr="00EF1CE1">
        <w:rPr>
          <w:rFonts w:ascii="微软雅黑" w:eastAsia="微软雅黑" w:hAnsi="微软雅黑" w:cs="宋体" w:hint="eastAsia"/>
          <w:b/>
          <w:bCs/>
          <w:color w:val="7030A0"/>
          <w:kern w:val="0"/>
          <w:sz w:val="40"/>
          <w:szCs w:val="40"/>
        </w:rPr>
        <w:t>《中华人民共和国涉外民事关系法律适用法》</w:t>
      </w:r>
    </w:p>
    <w:p w:rsidR="00EF1CE1" w:rsidRPr="00EF1CE1" w:rsidRDefault="00EF1CE1" w:rsidP="00EF1CE1">
      <w:pPr>
        <w:widowControl/>
        <w:shd w:val="clear" w:color="auto" w:fill="FFFFFF"/>
        <w:spacing w:line="600" w:lineRule="exact"/>
        <w:jc w:val="center"/>
        <w:rPr>
          <w:rFonts w:ascii="微软雅黑" w:eastAsia="微软雅黑" w:hAnsi="微软雅黑" w:cs="宋体"/>
          <w:b/>
          <w:bCs/>
          <w:color w:val="7030A0"/>
          <w:kern w:val="0"/>
          <w:sz w:val="40"/>
          <w:szCs w:val="40"/>
        </w:rPr>
      </w:pPr>
      <w:r w:rsidRPr="00EF1CE1">
        <w:rPr>
          <w:rFonts w:ascii="微软雅黑" w:eastAsia="微软雅黑" w:hAnsi="微软雅黑" w:cs="宋体" w:hint="eastAsia"/>
          <w:b/>
          <w:bCs/>
          <w:color w:val="7030A0"/>
          <w:kern w:val="0"/>
          <w:sz w:val="40"/>
          <w:szCs w:val="40"/>
        </w:rPr>
        <w:t>若干问题的解释（一）</w:t>
      </w:r>
    </w:p>
    <w:p w:rsidR="00EF1CE1" w:rsidRDefault="00EF1CE1" w:rsidP="00EF1CE1">
      <w:pPr>
        <w:widowControl/>
        <w:shd w:val="clear" w:color="auto" w:fill="FFFFFF"/>
        <w:spacing w:line="280" w:lineRule="exact"/>
        <w:jc w:val="center"/>
        <w:rPr>
          <w:rFonts w:ascii="微软雅黑" w:eastAsia="微软雅黑" w:hAnsi="微软雅黑" w:cs="宋体"/>
          <w:color w:val="2F2F2F"/>
          <w:kern w:val="0"/>
          <w:sz w:val="24"/>
        </w:rPr>
      </w:pPr>
    </w:p>
    <w:p w:rsidR="00EF1CE1" w:rsidRDefault="00EF1CE1" w:rsidP="00EF1CE1">
      <w:pPr>
        <w:widowControl/>
        <w:shd w:val="clear" w:color="auto" w:fill="FFFFFF"/>
        <w:spacing w:line="280" w:lineRule="exact"/>
        <w:jc w:val="center"/>
        <w:rPr>
          <w:rFonts w:ascii="微软雅黑" w:eastAsia="微软雅黑" w:hAnsi="微软雅黑" w:cs="宋体"/>
          <w:color w:val="2F2F2F"/>
          <w:kern w:val="0"/>
          <w:sz w:val="24"/>
        </w:rPr>
      </w:pPr>
      <w:r>
        <w:rPr>
          <w:rFonts w:ascii="微软雅黑" w:eastAsia="微软雅黑" w:hAnsi="微软雅黑" w:cs="宋体" w:hint="eastAsia"/>
          <w:color w:val="2F2F2F"/>
          <w:kern w:val="0"/>
          <w:sz w:val="24"/>
        </w:rPr>
        <w:t>2013-01-07</w:t>
      </w:r>
    </w:p>
    <w:p w:rsidR="00EF1CE1" w:rsidRDefault="00EF1CE1" w:rsidP="00EF1CE1">
      <w:pPr>
        <w:widowControl/>
        <w:shd w:val="clear" w:color="auto" w:fill="FFFFFF"/>
        <w:spacing w:line="280" w:lineRule="exact"/>
        <w:jc w:val="center"/>
        <w:rPr>
          <w:rFonts w:ascii="微软雅黑" w:eastAsia="微软雅黑" w:hAnsi="微软雅黑" w:cs="宋体" w:hint="eastAsia"/>
          <w:color w:val="2F2F2F"/>
          <w:kern w:val="0"/>
          <w:sz w:val="24"/>
        </w:rPr>
      </w:pPr>
    </w:p>
    <w:p w:rsidR="00EF1CE1" w:rsidRDefault="00EF1CE1" w:rsidP="00EF1CE1">
      <w:pPr>
        <w:widowControl/>
        <w:shd w:val="clear" w:color="auto" w:fill="FFFFFF"/>
        <w:spacing w:line="280" w:lineRule="exact"/>
        <w:jc w:val="center"/>
        <w:rPr>
          <w:rFonts w:ascii="微软雅黑" w:eastAsia="微软雅黑" w:hAnsi="微软雅黑" w:cs="宋体"/>
          <w:color w:val="2F2F2F"/>
          <w:kern w:val="0"/>
          <w:sz w:val="24"/>
        </w:rPr>
      </w:pPr>
      <w:r w:rsidRPr="00EF1CE1">
        <w:rPr>
          <w:rFonts w:ascii="微软雅黑" w:eastAsia="微软雅黑" w:hAnsi="微软雅黑" w:cs="宋体" w:hint="eastAsia"/>
          <w:color w:val="2F2F2F"/>
          <w:kern w:val="0"/>
          <w:sz w:val="24"/>
        </w:rPr>
        <w:t>法释〔2012〕24号</w:t>
      </w:r>
    </w:p>
    <w:p w:rsidR="00EF1CE1" w:rsidRPr="00EF1CE1" w:rsidRDefault="00EF1CE1" w:rsidP="00EF1CE1">
      <w:pPr>
        <w:widowControl/>
        <w:shd w:val="clear" w:color="auto" w:fill="FFFFFF"/>
        <w:spacing w:line="280" w:lineRule="exact"/>
        <w:rPr>
          <w:rFonts w:ascii="微软雅黑" w:eastAsia="微软雅黑" w:hAnsi="微软雅黑" w:cs="宋体" w:hint="eastAsia"/>
          <w:color w:val="2F2F2F"/>
          <w:kern w:val="0"/>
          <w:sz w:val="24"/>
        </w:rPr>
      </w:pPr>
    </w:p>
    <w:p w:rsidR="00EF1CE1" w:rsidRPr="00EF1CE1" w:rsidRDefault="00EF1CE1" w:rsidP="00EF1CE1">
      <w:pPr>
        <w:widowControl/>
        <w:shd w:val="clear" w:color="auto" w:fill="FFFFFF"/>
        <w:spacing w:line="280" w:lineRule="exact"/>
        <w:jc w:val="center"/>
        <w:rPr>
          <w:rFonts w:ascii="微软雅黑" w:eastAsia="微软雅黑" w:hAnsi="微软雅黑" w:cs="宋体" w:hint="eastAsia"/>
          <w:color w:val="2F2F2F"/>
          <w:kern w:val="0"/>
          <w:sz w:val="24"/>
        </w:rPr>
      </w:pPr>
      <w:r w:rsidRPr="00EF1CE1">
        <w:rPr>
          <w:rFonts w:ascii="微软雅黑" w:eastAsia="微软雅黑" w:hAnsi="微软雅黑" w:cs="宋体" w:hint="eastAsia"/>
          <w:color w:val="2F2F2F"/>
          <w:kern w:val="0"/>
          <w:sz w:val="24"/>
        </w:rPr>
        <w:t>（2012年12月10日最高人民法院审判委员会第1563次会议通过）</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color w:val="2F2F2F"/>
          <w:kern w:val="0"/>
          <w:sz w:val="24"/>
        </w:rPr>
        <w:t> </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color w:val="2F2F2F"/>
          <w:kern w:val="0"/>
          <w:sz w:val="24"/>
        </w:rPr>
        <w:t>为正确审理涉外民事案件，根据《中华人民共和国涉外民事关系法律适用法》的规定，对人民法院适用该法的有关问题解释如下：</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b/>
          <w:bCs/>
          <w:color w:val="2F2F2F"/>
          <w:kern w:val="0"/>
          <w:sz w:val="24"/>
        </w:rPr>
        <w:t>第一条</w:t>
      </w:r>
      <w:r w:rsidRPr="00EF1CE1">
        <w:rPr>
          <w:rFonts w:ascii="微软雅黑" w:eastAsia="微软雅黑" w:hAnsi="微软雅黑" w:cs="宋体" w:hint="eastAsia"/>
          <w:color w:val="2F2F2F"/>
          <w:kern w:val="0"/>
          <w:sz w:val="24"/>
        </w:rPr>
        <w:t> </w:t>
      </w:r>
      <w:r w:rsidR="00E42CA3">
        <w:rPr>
          <w:rFonts w:ascii="微软雅黑" w:eastAsia="微软雅黑" w:hAnsi="微软雅黑" w:cs="宋体"/>
          <w:color w:val="2F2F2F"/>
          <w:kern w:val="0"/>
          <w:sz w:val="24"/>
        </w:rPr>
        <w:t xml:space="preserve"> </w:t>
      </w:r>
      <w:r w:rsidRPr="00EF1CE1">
        <w:rPr>
          <w:rFonts w:ascii="微软雅黑" w:eastAsia="微软雅黑" w:hAnsi="微软雅黑" w:cs="宋体" w:hint="eastAsia"/>
          <w:color w:val="2F2F2F"/>
          <w:kern w:val="0"/>
          <w:sz w:val="24"/>
        </w:rPr>
        <w:t>民事关系具有下列情形之一的，人民法院可以认定为涉外民事关系：</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color w:val="2F2F2F"/>
          <w:kern w:val="0"/>
          <w:sz w:val="24"/>
        </w:rPr>
        <w:t>（一）当事人一方或双方是外国公民、外国法人或者其他组织、无国籍人；</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color w:val="2F2F2F"/>
          <w:kern w:val="0"/>
          <w:sz w:val="24"/>
        </w:rPr>
        <w:t>（二）当事人一方或双方的经常居所地在中华人民共和国领域外；</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color w:val="2F2F2F"/>
          <w:kern w:val="0"/>
          <w:sz w:val="24"/>
        </w:rPr>
        <w:t>（三）标的物在中华人民共和国领域外；</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color w:val="2F2F2F"/>
          <w:kern w:val="0"/>
          <w:sz w:val="24"/>
        </w:rPr>
        <w:t>（四）产生、变更或者消灭民事关系的法律事实发生在中华人民共和国领域外；</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color w:val="2F2F2F"/>
          <w:kern w:val="0"/>
          <w:sz w:val="24"/>
        </w:rPr>
        <w:t>（五）可以认定为涉外民事关系的其他情形。</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b/>
          <w:bCs/>
          <w:color w:val="2F2F2F"/>
          <w:kern w:val="0"/>
          <w:sz w:val="24"/>
        </w:rPr>
        <w:t>第二条</w:t>
      </w:r>
      <w:r w:rsidRPr="00EF1CE1">
        <w:rPr>
          <w:rFonts w:ascii="微软雅黑" w:eastAsia="微软雅黑" w:hAnsi="微软雅黑" w:cs="宋体" w:hint="eastAsia"/>
          <w:color w:val="2F2F2F"/>
          <w:kern w:val="0"/>
          <w:sz w:val="24"/>
        </w:rPr>
        <w:t> </w:t>
      </w:r>
      <w:r w:rsidR="00E42CA3">
        <w:rPr>
          <w:rFonts w:ascii="微软雅黑" w:eastAsia="微软雅黑" w:hAnsi="微软雅黑" w:cs="宋体"/>
          <w:color w:val="2F2F2F"/>
          <w:kern w:val="0"/>
          <w:sz w:val="24"/>
        </w:rPr>
        <w:t xml:space="preserve"> </w:t>
      </w:r>
      <w:r w:rsidRPr="00EF1CE1">
        <w:rPr>
          <w:rFonts w:ascii="微软雅黑" w:eastAsia="微软雅黑" w:hAnsi="微软雅黑" w:cs="宋体" w:hint="eastAsia"/>
          <w:color w:val="2F2F2F"/>
          <w:kern w:val="0"/>
          <w:sz w:val="24"/>
        </w:rPr>
        <w:t>涉外民事关系法律适用法实施以前发生的涉外民事关系，人民法院应当根据该涉外民事关系发生时的有关法律规定确定应当适用的法律；当时法律没有规定的，可以参照涉外民事关系法律适用法的规定确定。</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b/>
          <w:bCs/>
          <w:color w:val="2F2F2F"/>
          <w:kern w:val="0"/>
          <w:sz w:val="24"/>
        </w:rPr>
        <w:t>第三条</w:t>
      </w:r>
      <w:r w:rsidRPr="00EF1CE1">
        <w:rPr>
          <w:rFonts w:ascii="微软雅黑" w:eastAsia="微软雅黑" w:hAnsi="微软雅黑" w:cs="宋体" w:hint="eastAsia"/>
          <w:color w:val="2F2F2F"/>
          <w:kern w:val="0"/>
          <w:sz w:val="24"/>
        </w:rPr>
        <w:t> </w:t>
      </w:r>
      <w:r w:rsidR="00E42CA3">
        <w:rPr>
          <w:rFonts w:ascii="微软雅黑" w:eastAsia="微软雅黑" w:hAnsi="微软雅黑" w:cs="宋体"/>
          <w:color w:val="2F2F2F"/>
          <w:kern w:val="0"/>
          <w:sz w:val="24"/>
        </w:rPr>
        <w:t xml:space="preserve"> </w:t>
      </w:r>
      <w:r w:rsidRPr="00EF1CE1">
        <w:rPr>
          <w:rFonts w:ascii="微软雅黑" w:eastAsia="微软雅黑" w:hAnsi="微软雅黑" w:cs="宋体" w:hint="eastAsia"/>
          <w:color w:val="2F2F2F"/>
          <w:kern w:val="0"/>
          <w:sz w:val="24"/>
        </w:rPr>
        <w:t>涉外民事关系法律适用法与其他法律对同一涉外民事关系法律适用规定不一致的，适用涉外民事关系法律适用法的规定，但《中华人民共和国票据法》、《中华人民共和国海商法》、《中华人民共和国民用航空法》等商</w:t>
      </w:r>
      <w:proofErr w:type="gramStart"/>
      <w:r w:rsidRPr="00EF1CE1">
        <w:rPr>
          <w:rFonts w:ascii="微软雅黑" w:eastAsia="微软雅黑" w:hAnsi="微软雅黑" w:cs="宋体" w:hint="eastAsia"/>
          <w:color w:val="2F2F2F"/>
          <w:kern w:val="0"/>
          <w:sz w:val="24"/>
        </w:rPr>
        <w:t>事领域</w:t>
      </w:r>
      <w:proofErr w:type="gramEnd"/>
      <w:r w:rsidRPr="00EF1CE1">
        <w:rPr>
          <w:rFonts w:ascii="微软雅黑" w:eastAsia="微软雅黑" w:hAnsi="微软雅黑" w:cs="宋体" w:hint="eastAsia"/>
          <w:color w:val="2F2F2F"/>
          <w:kern w:val="0"/>
          <w:sz w:val="24"/>
        </w:rPr>
        <w:t>法律的特别规定以及知识产权领域法律的特别规定除外。</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color w:val="2F2F2F"/>
          <w:kern w:val="0"/>
          <w:sz w:val="24"/>
        </w:rPr>
        <w:t>涉外民事关系法律适用法对涉外民事关系的法律适用没有规定而其他法律有规定的，适用其他法律的规定。</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b/>
          <w:bCs/>
          <w:color w:val="2F2F2F"/>
          <w:kern w:val="0"/>
          <w:sz w:val="24"/>
        </w:rPr>
        <w:t>第四条</w:t>
      </w:r>
      <w:r w:rsidRPr="00EF1CE1">
        <w:rPr>
          <w:rFonts w:ascii="微软雅黑" w:eastAsia="微软雅黑" w:hAnsi="微软雅黑" w:cs="宋体" w:hint="eastAsia"/>
          <w:color w:val="2F2F2F"/>
          <w:kern w:val="0"/>
          <w:sz w:val="24"/>
        </w:rPr>
        <w:t> </w:t>
      </w:r>
      <w:r w:rsidR="00E42CA3">
        <w:rPr>
          <w:rFonts w:ascii="微软雅黑" w:eastAsia="微软雅黑" w:hAnsi="微软雅黑" w:cs="宋体"/>
          <w:color w:val="2F2F2F"/>
          <w:kern w:val="0"/>
          <w:sz w:val="24"/>
        </w:rPr>
        <w:t xml:space="preserve"> </w:t>
      </w:r>
      <w:r w:rsidRPr="00EF1CE1">
        <w:rPr>
          <w:rFonts w:ascii="微软雅黑" w:eastAsia="微软雅黑" w:hAnsi="微软雅黑" w:cs="宋体" w:hint="eastAsia"/>
          <w:color w:val="2F2F2F"/>
          <w:kern w:val="0"/>
          <w:sz w:val="24"/>
        </w:rPr>
        <w:t>涉外民事关系的法律适用涉及适用国际条约的，人民法院应当根据《中华人民共和国民法通则》第一百四十二条第二款以及《中华人民共和国票据法》第九十五条第一款、《中华人民共和国海商法》第二百六十八条第一款、《中华人民共和国民用航空法》第一百八十四条第一款等法律规定予以适用，但知识产权领域的国际条约已经转化或者需要转化为国内法律的除外。</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b/>
          <w:bCs/>
          <w:color w:val="2F2F2F"/>
          <w:kern w:val="0"/>
          <w:sz w:val="24"/>
        </w:rPr>
        <w:t>第五条</w:t>
      </w:r>
      <w:r w:rsidRPr="00EF1CE1">
        <w:rPr>
          <w:rFonts w:ascii="微软雅黑" w:eastAsia="微软雅黑" w:hAnsi="微软雅黑" w:cs="宋体" w:hint="eastAsia"/>
          <w:color w:val="2F2F2F"/>
          <w:kern w:val="0"/>
          <w:sz w:val="24"/>
        </w:rPr>
        <w:t> </w:t>
      </w:r>
      <w:r w:rsidR="00E42CA3">
        <w:rPr>
          <w:rFonts w:ascii="微软雅黑" w:eastAsia="微软雅黑" w:hAnsi="微软雅黑" w:cs="宋体"/>
          <w:color w:val="2F2F2F"/>
          <w:kern w:val="0"/>
          <w:sz w:val="24"/>
        </w:rPr>
        <w:t xml:space="preserve"> </w:t>
      </w:r>
      <w:r w:rsidRPr="00EF1CE1">
        <w:rPr>
          <w:rFonts w:ascii="微软雅黑" w:eastAsia="微软雅黑" w:hAnsi="微软雅黑" w:cs="宋体" w:hint="eastAsia"/>
          <w:color w:val="2F2F2F"/>
          <w:kern w:val="0"/>
          <w:sz w:val="24"/>
        </w:rPr>
        <w:t>涉外民事关系的法律适用涉及适用国际惯例的，人民法院应当根据《中华人民共和国民法通则》第一百四十二条第三款以及《中华人民共和国票据法》第九十五条第二款、《中华人民共和国海商法》第二百六十八条第二款、《中华人民共和国民用航空法》第一百八十四条第二款等法律规定予以适用。</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b/>
          <w:bCs/>
          <w:color w:val="2F2F2F"/>
          <w:kern w:val="0"/>
          <w:sz w:val="24"/>
        </w:rPr>
        <w:lastRenderedPageBreak/>
        <w:t>第六条</w:t>
      </w:r>
      <w:r w:rsidRPr="00EF1CE1">
        <w:rPr>
          <w:rFonts w:ascii="微软雅黑" w:eastAsia="微软雅黑" w:hAnsi="微软雅黑" w:cs="宋体" w:hint="eastAsia"/>
          <w:color w:val="2F2F2F"/>
          <w:kern w:val="0"/>
          <w:sz w:val="24"/>
        </w:rPr>
        <w:t> </w:t>
      </w:r>
      <w:r w:rsidR="00E42CA3">
        <w:rPr>
          <w:rFonts w:ascii="微软雅黑" w:eastAsia="微软雅黑" w:hAnsi="微软雅黑" w:cs="宋体"/>
          <w:color w:val="2F2F2F"/>
          <w:kern w:val="0"/>
          <w:sz w:val="24"/>
        </w:rPr>
        <w:t xml:space="preserve"> </w:t>
      </w:r>
      <w:r w:rsidRPr="00EF1CE1">
        <w:rPr>
          <w:rFonts w:ascii="微软雅黑" w:eastAsia="微软雅黑" w:hAnsi="微软雅黑" w:cs="宋体" w:hint="eastAsia"/>
          <w:color w:val="2F2F2F"/>
          <w:kern w:val="0"/>
          <w:sz w:val="24"/>
        </w:rPr>
        <w:t>中华人民共和国法律没有明确规定当事人可以选择涉外民事关系适用的法律，当事人选择适用法律的，人民法院应认定该选择无效。</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b/>
          <w:bCs/>
          <w:color w:val="2F2F2F"/>
          <w:kern w:val="0"/>
          <w:sz w:val="24"/>
        </w:rPr>
        <w:t>第七条</w:t>
      </w:r>
      <w:r w:rsidRPr="00EF1CE1">
        <w:rPr>
          <w:rFonts w:ascii="微软雅黑" w:eastAsia="微软雅黑" w:hAnsi="微软雅黑" w:cs="宋体" w:hint="eastAsia"/>
          <w:color w:val="2F2F2F"/>
          <w:kern w:val="0"/>
          <w:sz w:val="24"/>
        </w:rPr>
        <w:t> </w:t>
      </w:r>
      <w:r w:rsidR="00E42CA3">
        <w:rPr>
          <w:rFonts w:ascii="微软雅黑" w:eastAsia="微软雅黑" w:hAnsi="微软雅黑" w:cs="宋体"/>
          <w:color w:val="2F2F2F"/>
          <w:kern w:val="0"/>
          <w:sz w:val="24"/>
        </w:rPr>
        <w:t xml:space="preserve"> </w:t>
      </w:r>
      <w:r w:rsidRPr="00EF1CE1">
        <w:rPr>
          <w:rFonts w:ascii="微软雅黑" w:eastAsia="微软雅黑" w:hAnsi="微软雅黑" w:cs="宋体" w:hint="eastAsia"/>
          <w:color w:val="2F2F2F"/>
          <w:kern w:val="0"/>
          <w:sz w:val="24"/>
        </w:rPr>
        <w:t>一方当事人以双方协议选择的法律与系争的涉外民事关系没有实际联系为由主张选择无效的，人民法院不予支持。</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b/>
          <w:bCs/>
          <w:color w:val="2F2F2F"/>
          <w:kern w:val="0"/>
          <w:sz w:val="24"/>
        </w:rPr>
        <w:t>第八条</w:t>
      </w:r>
      <w:r w:rsidRPr="00EF1CE1">
        <w:rPr>
          <w:rFonts w:ascii="微软雅黑" w:eastAsia="微软雅黑" w:hAnsi="微软雅黑" w:cs="宋体" w:hint="eastAsia"/>
          <w:color w:val="2F2F2F"/>
          <w:kern w:val="0"/>
          <w:sz w:val="24"/>
        </w:rPr>
        <w:t> </w:t>
      </w:r>
      <w:r w:rsidR="00E42CA3">
        <w:rPr>
          <w:rFonts w:ascii="微软雅黑" w:eastAsia="微软雅黑" w:hAnsi="微软雅黑" w:cs="宋体"/>
          <w:color w:val="2F2F2F"/>
          <w:kern w:val="0"/>
          <w:sz w:val="24"/>
        </w:rPr>
        <w:t xml:space="preserve"> </w:t>
      </w:r>
      <w:r w:rsidRPr="00EF1CE1">
        <w:rPr>
          <w:rFonts w:ascii="微软雅黑" w:eastAsia="微软雅黑" w:hAnsi="微软雅黑" w:cs="宋体" w:hint="eastAsia"/>
          <w:color w:val="2F2F2F"/>
          <w:kern w:val="0"/>
          <w:sz w:val="24"/>
        </w:rPr>
        <w:t>当事人在一审法庭辩论终结前协议选择或者变更选择适用的法律的，人民法院应予准许。</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color w:val="2F2F2F"/>
          <w:kern w:val="0"/>
          <w:sz w:val="24"/>
        </w:rPr>
        <w:t>各方当事人援引相同国家的法律且未提出法律适用异议的，人民法院可以认定当事人已经就涉外民事关系适用的法律做出了选择。</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b/>
          <w:bCs/>
          <w:color w:val="2F2F2F"/>
          <w:kern w:val="0"/>
          <w:sz w:val="24"/>
        </w:rPr>
        <w:t>第九条</w:t>
      </w:r>
      <w:r w:rsidRPr="00EF1CE1">
        <w:rPr>
          <w:rFonts w:ascii="微软雅黑" w:eastAsia="微软雅黑" w:hAnsi="微软雅黑" w:cs="宋体" w:hint="eastAsia"/>
          <w:color w:val="2F2F2F"/>
          <w:kern w:val="0"/>
          <w:sz w:val="24"/>
        </w:rPr>
        <w:t> </w:t>
      </w:r>
      <w:r w:rsidR="00E42CA3">
        <w:rPr>
          <w:rFonts w:ascii="微软雅黑" w:eastAsia="微软雅黑" w:hAnsi="微软雅黑" w:cs="宋体"/>
          <w:color w:val="2F2F2F"/>
          <w:kern w:val="0"/>
          <w:sz w:val="24"/>
        </w:rPr>
        <w:t xml:space="preserve"> </w:t>
      </w:r>
      <w:r w:rsidRPr="00EF1CE1">
        <w:rPr>
          <w:rFonts w:ascii="微软雅黑" w:eastAsia="微软雅黑" w:hAnsi="微软雅黑" w:cs="宋体" w:hint="eastAsia"/>
          <w:color w:val="2F2F2F"/>
          <w:kern w:val="0"/>
          <w:sz w:val="24"/>
        </w:rPr>
        <w:t>当事人在合同中援引尚未对中华人民共和国生效的国际条约的，人民法院可以根据该国际条约的内容确定当事人之间的权利义务，但违反中华人民共和国社会公共利益或中华人民共和国法律、行政法规强制性规定的除外。</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b/>
          <w:bCs/>
          <w:color w:val="2F2F2F"/>
          <w:kern w:val="0"/>
          <w:sz w:val="24"/>
        </w:rPr>
        <w:t>第十条</w:t>
      </w:r>
      <w:r w:rsidRPr="00EF1CE1">
        <w:rPr>
          <w:rFonts w:ascii="微软雅黑" w:eastAsia="微软雅黑" w:hAnsi="微软雅黑" w:cs="宋体" w:hint="eastAsia"/>
          <w:color w:val="2F2F2F"/>
          <w:kern w:val="0"/>
          <w:sz w:val="24"/>
        </w:rPr>
        <w:t> </w:t>
      </w:r>
      <w:r w:rsidR="00E42CA3">
        <w:rPr>
          <w:rFonts w:ascii="微软雅黑" w:eastAsia="微软雅黑" w:hAnsi="微软雅黑" w:cs="宋体"/>
          <w:color w:val="2F2F2F"/>
          <w:kern w:val="0"/>
          <w:sz w:val="24"/>
        </w:rPr>
        <w:t xml:space="preserve"> </w:t>
      </w:r>
      <w:r w:rsidRPr="00EF1CE1">
        <w:rPr>
          <w:rFonts w:ascii="微软雅黑" w:eastAsia="微软雅黑" w:hAnsi="微软雅黑" w:cs="宋体" w:hint="eastAsia"/>
          <w:color w:val="2F2F2F"/>
          <w:kern w:val="0"/>
          <w:sz w:val="24"/>
        </w:rPr>
        <w:t>有下列情形之一，涉及中华人民共和国社会公共利益、当事人不能通过约定排除适用、无需通过冲突规范指引而直接适用于涉外民事关系的法律、行政法规的规定，人民法院应当认定为涉外民事关系法律适用法第四条规定的强制性规定：</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color w:val="2F2F2F"/>
          <w:kern w:val="0"/>
          <w:sz w:val="24"/>
        </w:rPr>
        <w:t>（一）涉及劳动者权益保护的；</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color w:val="2F2F2F"/>
          <w:kern w:val="0"/>
          <w:sz w:val="24"/>
        </w:rPr>
        <w:t>（二）涉及食品或公共卫生安全的；</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color w:val="2F2F2F"/>
          <w:kern w:val="0"/>
          <w:sz w:val="24"/>
        </w:rPr>
        <w:t>（三）涉及环境安全的；</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color w:val="2F2F2F"/>
          <w:kern w:val="0"/>
          <w:sz w:val="24"/>
        </w:rPr>
        <w:t>（四）涉及外汇管制等金融安全的；</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color w:val="2F2F2F"/>
          <w:kern w:val="0"/>
          <w:sz w:val="24"/>
        </w:rPr>
        <w:t>（五）涉及反垄断、反倾销的；</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color w:val="2F2F2F"/>
          <w:kern w:val="0"/>
          <w:sz w:val="24"/>
        </w:rPr>
        <w:t>（六）应当认定为强制性规定的其他情形。</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b/>
          <w:bCs/>
          <w:color w:val="2F2F2F"/>
          <w:kern w:val="0"/>
          <w:sz w:val="24"/>
        </w:rPr>
        <w:t>第十一条</w:t>
      </w:r>
      <w:r w:rsidRPr="00EF1CE1">
        <w:rPr>
          <w:rFonts w:ascii="微软雅黑" w:eastAsia="微软雅黑" w:hAnsi="微软雅黑" w:cs="宋体" w:hint="eastAsia"/>
          <w:color w:val="2F2F2F"/>
          <w:kern w:val="0"/>
          <w:sz w:val="24"/>
        </w:rPr>
        <w:t> </w:t>
      </w:r>
      <w:r w:rsidR="00E42CA3">
        <w:rPr>
          <w:rFonts w:ascii="微软雅黑" w:eastAsia="微软雅黑" w:hAnsi="微软雅黑" w:cs="宋体"/>
          <w:color w:val="2F2F2F"/>
          <w:kern w:val="0"/>
          <w:sz w:val="24"/>
        </w:rPr>
        <w:t xml:space="preserve"> </w:t>
      </w:r>
      <w:r w:rsidRPr="00EF1CE1">
        <w:rPr>
          <w:rFonts w:ascii="微软雅黑" w:eastAsia="微软雅黑" w:hAnsi="微软雅黑" w:cs="宋体" w:hint="eastAsia"/>
          <w:color w:val="2F2F2F"/>
          <w:kern w:val="0"/>
          <w:sz w:val="24"/>
        </w:rPr>
        <w:t>一方当事人故意制造涉外民事关系的连结点，规避中华人民共和国法律、行政法规的强制性规定的，人民法院应认定为不发生适用外国法律的效力。</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b/>
          <w:bCs/>
          <w:color w:val="2F2F2F"/>
          <w:kern w:val="0"/>
          <w:sz w:val="24"/>
        </w:rPr>
        <w:t>第十二条</w:t>
      </w:r>
      <w:r w:rsidRPr="00EF1CE1">
        <w:rPr>
          <w:rFonts w:ascii="微软雅黑" w:eastAsia="微软雅黑" w:hAnsi="微软雅黑" w:cs="宋体" w:hint="eastAsia"/>
          <w:color w:val="2F2F2F"/>
          <w:kern w:val="0"/>
          <w:sz w:val="24"/>
        </w:rPr>
        <w:t> </w:t>
      </w:r>
      <w:r w:rsidR="00E42CA3">
        <w:rPr>
          <w:rFonts w:ascii="微软雅黑" w:eastAsia="微软雅黑" w:hAnsi="微软雅黑" w:cs="宋体"/>
          <w:color w:val="2F2F2F"/>
          <w:kern w:val="0"/>
          <w:sz w:val="24"/>
        </w:rPr>
        <w:t xml:space="preserve"> </w:t>
      </w:r>
      <w:r w:rsidRPr="00EF1CE1">
        <w:rPr>
          <w:rFonts w:ascii="微软雅黑" w:eastAsia="微软雅黑" w:hAnsi="微软雅黑" w:cs="宋体" w:hint="eastAsia"/>
          <w:color w:val="2F2F2F"/>
          <w:kern w:val="0"/>
          <w:sz w:val="24"/>
        </w:rPr>
        <w:t>涉外民事争议的解决须以另一涉外民事关系的确认为前提时，人民法院应当根据该先决问题自身的性质确定其应当适用的法律。</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b/>
          <w:bCs/>
          <w:color w:val="2F2F2F"/>
          <w:kern w:val="0"/>
          <w:sz w:val="24"/>
        </w:rPr>
        <w:t>第十三条</w:t>
      </w:r>
      <w:r w:rsidRPr="00EF1CE1">
        <w:rPr>
          <w:rFonts w:ascii="微软雅黑" w:eastAsia="微软雅黑" w:hAnsi="微软雅黑" w:cs="宋体" w:hint="eastAsia"/>
          <w:color w:val="2F2F2F"/>
          <w:kern w:val="0"/>
          <w:sz w:val="24"/>
        </w:rPr>
        <w:t> </w:t>
      </w:r>
      <w:r w:rsidR="00E42CA3">
        <w:rPr>
          <w:rFonts w:ascii="微软雅黑" w:eastAsia="微软雅黑" w:hAnsi="微软雅黑" w:cs="宋体"/>
          <w:color w:val="2F2F2F"/>
          <w:kern w:val="0"/>
          <w:sz w:val="24"/>
        </w:rPr>
        <w:t xml:space="preserve"> </w:t>
      </w:r>
      <w:r w:rsidRPr="00EF1CE1">
        <w:rPr>
          <w:rFonts w:ascii="微软雅黑" w:eastAsia="微软雅黑" w:hAnsi="微软雅黑" w:cs="宋体" w:hint="eastAsia"/>
          <w:color w:val="2F2F2F"/>
          <w:kern w:val="0"/>
          <w:sz w:val="24"/>
        </w:rPr>
        <w:t>案件涉及两个或者两个以上的涉外民事关系时，人民法院应当分别确定应当适用的法律。</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b/>
          <w:bCs/>
          <w:color w:val="2F2F2F"/>
          <w:kern w:val="0"/>
          <w:sz w:val="24"/>
        </w:rPr>
        <w:t>第十四条</w:t>
      </w:r>
      <w:r w:rsidRPr="00EF1CE1">
        <w:rPr>
          <w:rFonts w:ascii="微软雅黑" w:eastAsia="微软雅黑" w:hAnsi="微软雅黑" w:cs="宋体" w:hint="eastAsia"/>
          <w:color w:val="2F2F2F"/>
          <w:kern w:val="0"/>
          <w:sz w:val="24"/>
        </w:rPr>
        <w:t> </w:t>
      </w:r>
      <w:r w:rsidR="00E42CA3">
        <w:rPr>
          <w:rFonts w:ascii="微软雅黑" w:eastAsia="微软雅黑" w:hAnsi="微软雅黑" w:cs="宋体"/>
          <w:color w:val="2F2F2F"/>
          <w:kern w:val="0"/>
          <w:sz w:val="24"/>
        </w:rPr>
        <w:t xml:space="preserve"> </w:t>
      </w:r>
      <w:r w:rsidRPr="00EF1CE1">
        <w:rPr>
          <w:rFonts w:ascii="微软雅黑" w:eastAsia="微软雅黑" w:hAnsi="微软雅黑" w:cs="宋体" w:hint="eastAsia"/>
          <w:color w:val="2F2F2F"/>
          <w:kern w:val="0"/>
          <w:sz w:val="24"/>
        </w:rPr>
        <w:t>当事人没有选择涉外仲裁协议适用的法律，也没有约定仲裁机构或者仲裁地，或者约定不明的，人民法院可以适用中华人民共和国法律认定该仲裁协议的效力。</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b/>
          <w:bCs/>
          <w:color w:val="2F2F2F"/>
          <w:kern w:val="0"/>
          <w:sz w:val="24"/>
        </w:rPr>
        <w:t>第十五条</w:t>
      </w:r>
      <w:r w:rsidRPr="00EF1CE1">
        <w:rPr>
          <w:rFonts w:ascii="微软雅黑" w:eastAsia="微软雅黑" w:hAnsi="微软雅黑" w:cs="宋体" w:hint="eastAsia"/>
          <w:color w:val="2F2F2F"/>
          <w:kern w:val="0"/>
          <w:sz w:val="24"/>
        </w:rPr>
        <w:t> </w:t>
      </w:r>
      <w:r w:rsidR="00E42CA3">
        <w:rPr>
          <w:rFonts w:ascii="微软雅黑" w:eastAsia="微软雅黑" w:hAnsi="微软雅黑" w:cs="宋体"/>
          <w:color w:val="2F2F2F"/>
          <w:kern w:val="0"/>
          <w:sz w:val="24"/>
        </w:rPr>
        <w:t xml:space="preserve"> </w:t>
      </w:r>
      <w:r w:rsidRPr="00EF1CE1">
        <w:rPr>
          <w:rFonts w:ascii="微软雅黑" w:eastAsia="微软雅黑" w:hAnsi="微软雅黑" w:cs="宋体" w:hint="eastAsia"/>
          <w:color w:val="2F2F2F"/>
          <w:kern w:val="0"/>
          <w:sz w:val="24"/>
        </w:rPr>
        <w:t>自然人在涉外民事关系产生或者变更、终止时已经连续居住一年以上且作为其生活中心的地方，人民法院可以认定为涉外民事关系法律适用法规定的自然人的经常居所地，但就医、劳务派遣、公务等情形除外。</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b/>
          <w:bCs/>
          <w:color w:val="2F2F2F"/>
          <w:kern w:val="0"/>
          <w:sz w:val="24"/>
        </w:rPr>
        <w:t>第十六条</w:t>
      </w:r>
      <w:r w:rsidRPr="00EF1CE1">
        <w:rPr>
          <w:rFonts w:ascii="微软雅黑" w:eastAsia="微软雅黑" w:hAnsi="微软雅黑" w:cs="宋体" w:hint="eastAsia"/>
          <w:color w:val="2F2F2F"/>
          <w:kern w:val="0"/>
          <w:sz w:val="24"/>
        </w:rPr>
        <w:t> </w:t>
      </w:r>
      <w:r w:rsidR="00E42CA3">
        <w:rPr>
          <w:rFonts w:ascii="微软雅黑" w:eastAsia="微软雅黑" w:hAnsi="微软雅黑" w:cs="宋体"/>
          <w:color w:val="2F2F2F"/>
          <w:kern w:val="0"/>
          <w:sz w:val="24"/>
        </w:rPr>
        <w:t xml:space="preserve"> </w:t>
      </w:r>
      <w:r w:rsidRPr="00EF1CE1">
        <w:rPr>
          <w:rFonts w:ascii="微软雅黑" w:eastAsia="微软雅黑" w:hAnsi="微软雅黑" w:cs="宋体" w:hint="eastAsia"/>
          <w:color w:val="2F2F2F"/>
          <w:kern w:val="0"/>
          <w:sz w:val="24"/>
        </w:rPr>
        <w:t>人民法院应当将法人的设立登记地认定为涉外民事关系法律适用法规定的法人的登记地。</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b/>
          <w:bCs/>
          <w:color w:val="2F2F2F"/>
          <w:kern w:val="0"/>
          <w:sz w:val="24"/>
        </w:rPr>
        <w:t>第十七条</w:t>
      </w:r>
      <w:r w:rsidR="00E42CA3">
        <w:rPr>
          <w:rFonts w:ascii="微软雅黑" w:eastAsia="微软雅黑" w:hAnsi="微软雅黑" w:cs="宋体" w:hint="eastAsia"/>
          <w:b/>
          <w:bCs/>
          <w:color w:val="2F2F2F"/>
          <w:kern w:val="0"/>
          <w:sz w:val="24"/>
        </w:rPr>
        <w:t xml:space="preserve"> </w:t>
      </w:r>
      <w:r w:rsidRPr="00EF1CE1">
        <w:rPr>
          <w:rFonts w:ascii="微软雅黑" w:eastAsia="微软雅黑" w:hAnsi="微软雅黑" w:cs="宋体" w:hint="eastAsia"/>
          <w:color w:val="2F2F2F"/>
          <w:kern w:val="0"/>
          <w:sz w:val="24"/>
        </w:rPr>
        <w:t> 人民法院通过由当事人提供、已对中华人民共和国生效的国际条约规定的途径、中外法律专家提供等合理途径仍不能获得外国法律的，可以认定为不能查明外国法律。</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color w:val="2F2F2F"/>
          <w:kern w:val="0"/>
          <w:sz w:val="24"/>
        </w:rPr>
        <w:t>根据涉外民事关系法律适用法第十条第一款的规定，当事人应当提供外国法律，其在人民法院指定的合理期限内无正当理由未提供该外国法律的，可以认定为不能查明外国法律。</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b/>
          <w:bCs/>
          <w:color w:val="2F2F2F"/>
          <w:kern w:val="0"/>
          <w:sz w:val="24"/>
        </w:rPr>
        <w:t>第十八条</w:t>
      </w:r>
      <w:r w:rsidRPr="00EF1CE1">
        <w:rPr>
          <w:rFonts w:ascii="微软雅黑" w:eastAsia="微软雅黑" w:hAnsi="微软雅黑" w:cs="宋体" w:hint="eastAsia"/>
          <w:color w:val="2F2F2F"/>
          <w:kern w:val="0"/>
          <w:sz w:val="24"/>
        </w:rPr>
        <w:t> </w:t>
      </w:r>
      <w:r w:rsidR="00E42CA3">
        <w:rPr>
          <w:rFonts w:ascii="微软雅黑" w:eastAsia="微软雅黑" w:hAnsi="微软雅黑" w:cs="宋体"/>
          <w:color w:val="2F2F2F"/>
          <w:kern w:val="0"/>
          <w:sz w:val="24"/>
        </w:rPr>
        <w:t xml:space="preserve"> </w:t>
      </w:r>
      <w:r w:rsidRPr="00EF1CE1">
        <w:rPr>
          <w:rFonts w:ascii="微软雅黑" w:eastAsia="微软雅黑" w:hAnsi="微软雅黑" w:cs="宋体" w:hint="eastAsia"/>
          <w:color w:val="2F2F2F"/>
          <w:kern w:val="0"/>
          <w:sz w:val="24"/>
        </w:rPr>
        <w:t>人民法院应当听取各方当事人对应当适用的外国法律的内容及其理解与适用的意见，当事人对该外国法律的内容及其理解与适用均无异议的，人民法院可以予以确认；当事人有异议的，由人民法院审查认定。</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b/>
          <w:bCs/>
          <w:color w:val="2F2F2F"/>
          <w:kern w:val="0"/>
          <w:sz w:val="24"/>
        </w:rPr>
        <w:t>第十九条</w:t>
      </w:r>
      <w:r w:rsidRPr="00EF1CE1">
        <w:rPr>
          <w:rFonts w:ascii="微软雅黑" w:eastAsia="微软雅黑" w:hAnsi="微软雅黑" w:cs="宋体" w:hint="eastAsia"/>
          <w:color w:val="2F2F2F"/>
          <w:kern w:val="0"/>
          <w:sz w:val="24"/>
        </w:rPr>
        <w:t> </w:t>
      </w:r>
      <w:r w:rsidR="00E42CA3">
        <w:rPr>
          <w:rFonts w:ascii="微软雅黑" w:eastAsia="微软雅黑" w:hAnsi="微软雅黑" w:cs="宋体"/>
          <w:color w:val="2F2F2F"/>
          <w:kern w:val="0"/>
          <w:sz w:val="24"/>
        </w:rPr>
        <w:t xml:space="preserve"> </w:t>
      </w:r>
      <w:r w:rsidRPr="00EF1CE1">
        <w:rPr>
          <w:rFonts w:ascii="微软雅黑" w:eastAsia="微软雅黑" w:hAnsi="微软雅黑" w:cs="宋体" w:hint="eastAsia"/>
          <w:color w:val="2F2F2F"/>
          <w:kern w:val="0"/>
          <w:sz w:val="24"/>
        </w:rPr>
        <w:t>涉及香港特别行政区、澳门特别行政区的民事关系的法律适用问题，参照适用本规定。</w:t>
      </w:r>
    </w:p>
    <w:p w:rsidR="00EF1CE1"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b/>
          <w:bCs/>
          <w:color w:val="2F2F2F"/>
          <w:kern w:val="0"/>
          <w:sz w:val="24"/>
        </w:rPr>
        <w:t>第二十条</w:t>
      </w:r>
      <w:r w:rsidRPr="00EF1CE1">
        <w:rPr>
          <w:rFonts w:ascii="微软雅黑" w:eastAsia="微软雅黑" w:hAnsi="微软雅黑" w:cs="宋体" w:hint="eastAsia"/>
          <w:color w:val="2F2F2F"/>
          <w:kern w:val="0"/>
          <w:sz w:val="24"/>
        </w:rPr>
        <w:t> </w:t>
      </w:r>
      <w:r w:rsidR="00E42CA3">
        <w:rPr>
          <w:rFonts w:ascii="微软雅黑" w:eastAsia="微软雅黑" w:hAnsi="微软雅黑" w:cs="宋体"/>
          <w:color w:val="2F2F2F"/>
          <w:kern w:val="0"/>
          <w:sz w:val="24"/>
        </w:rPr>
        <w:t xml:space="preserve"> </w:t>
      </w:r>
      <w:r w:rsidRPr="00EF1CE1">
        <w:rPr>
          <w:rFonts w:ascii="微软雅黑" w:eastAsia="微软雅黑" w:hAnsi="微软雅黑" w:cs="宋体" w:hint="eastAsia"/>
          <w:color w:val="2F2F2F"/>
          <w:kern w:val="0"/>
          <w:sz w:val="24"/>
        </w:rPr>
        <w:t>涉外民事关系法律适用法施行后发生的涉外民事纠纷案件，本解释施行后尚未终审的，适用本解释；本解释施行前已经终审，当事人申请再审或者按照审判监督程序决定再审的，不适用本解释。</w:t>
      </w:r>
    </w:p>
    <w:p w:rsidR="007830AF" w:rsidRPr="00EF1CE1" w:rsidRDefault="00EF1CE1" w:rsidP="00EF1CE1">
      <w:pPr>
        <w:widowControl/>
        <w:shd w:val="clear" w:color="auto" w:fill="FFFFFF"/>
        <w:spacing w:line="320" w:lineRule="exact"/>
        <w:ind w:firstLine="600"/>
        <w:jc w:val="left"/>
        <w:rPr>
          <w:rFonts w:ascii="微软雅黑" w:eastAsia="微软雅黑" w:hAnsi="微软雅黑" w:cs="宋体" w:hint="eastAsia"/>
          <w:color w:val="2F2F2F"/>
          <w:kern w:val="0"/>
          <w:sz w:val="24"/>
        </w:rPr>
      </w:pPr>
      <w:r w:rsidRPr="00EF1CE1">
        <w:rPr>
          <w:rFonts w:ascii="微软雅黑" w:eastAsia="微软雅黑" w:hAnsi="微软雅黑" w:cs="宋体" w:hint="eastAsia"/>
          <w:b/>
          <w:bCs/>
          <w:color w:val="2F2F2F"/>
          <w:kern w:val="0"/>
          <w:sz w:val="24"/>
        </w:rPr>
        <w:t>第二十一条</w:t>
      </w:r>
      <w:r w:rsidRPr="00EF1CE1">
        <w:rPr>
          <w:rFonts w:ascii="微软雅黑" w:eastAsia="微软雅黑" w:hAnsi="微软雅黑" w:cs="宋体" w:hint="eastAsia"/>
          <w:color w:val="2F2F2F"/>
          <w:kern w:val="0"/>
          <w:sz w:val="24"/>
        </w:rPr>
        <w:t> </w:t>
      </w:r>
      <w:r w:rsidR="00E42CA3">
        <w:rPr>
          <w:rFonts w:ascii="微软雅黑" w:eastAsia="微软雅黑" w:hAnsi="微软雅黑" w:cs="宋体"/>
          <w:color w:val="2F2F2F"/>
          <w:kern w:val="0"/>
          <w:sz w:val="24"/>
        </w:rPr>
        <w:t xml:space="preserve"> </w:t>
      </w:r>
      <w:r w:rsidRPr="00EF1CE1">
        <w:rPr>
          <w:rFonts w:ascii="微软雅黑" w:eastAsia="微软雅黑" w:hAnsi="微软雅黑" w:cs="宋体" w:hint="eastAsia"/>
          <w:color w:val="2F2F2F"/>
          <w:kern w:val="0"/>
          <w:sz w:val="24"/>
        </w:rPr>
        <w:t>本院以前发布的司法解释与本解释不一致的，以本解释为准。</w:t>
      </w:r>
    </w:p>
    <w:sectPr w:rsidR="007830AF" w:rsidRPr="00EF1CE1" w:rsidSect="00C87BC1">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4BB" w:rsidRDefault="007D04BB" w:rsidP="007830AF">
      <w:r>
        <w:separator/>
      </w:r>
    </w:p>
  </w:endnote>
  <w:endnote w:type="continuationSeparator" w:id="0">
    <w:p w:rsidR="007D04BB" w:rsidRDefault="007D04BB" w:rsidP="0078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0AF" w:rsidRDefault="007D04BB">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289.6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7830AF" w:rsidRDefault="009A4B57">
                <w:pPr>
                  <w:pStyle w:val="a3"/>
                  <w:ind w:leftChars="100" w:left="210"/>
                  <w:jc w:val="both"/>
                  <w:rPr>
                    <w:rFonts w:ascii="宋体" w:hAnsi="宋体" w:cs="宋体"/>
                    <w:sz w:val="28"/>
                    <w:szCs w:val="28"/>
                  </w:rPr>
                </w:pPr>
                <w:r>
                  <w:rPr>
                    <w:rFonts w:ascii="宋体" w:hAnsi="宋体" w:cs="宋体" w:hint="eastAsia"/>
                    <w:sz w:val="28"/>
                    <w:szCs w:val="28"/>
                  </w:rPr>
                  <w:t xml:space="preserve">－ </w:t>
                </w:r>
                <w:r w:rsidR="007830A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830AF">
                  <w:rPr>
                    <w:rFonts w:ascii="宋体" w:hAnsi="宋体" w:cs="宋体" w:hint="eastAsia"/>
                    <w:sz w:val="28"/>
                    <w:szCs w:val="28"/>
                  </w:rPr>
                  <w:fldChar w:fldCharType="separate"/>
                </w:r>
                <w:r w:rsidR="00C24575">
                  <w:rPr>
                    <w:rFonts w:ascii="宋体" w:hAnsi="宋体" w:cs="宋体"/>
                    <w:noProof/>
                    <w:sz w:val="28"/>
                    <w:szCs w:val="28"/>
                  </w:rPr>
                  <w:t>2</w:t>
                </w:r>
                <w:r w:rsidR="007830A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0AF" w:rsidRDefault="007D04BB">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4.25pt;margin-top:-3.7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7830AF" w:rsidRDefault="009A4B5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7830A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830AF">
                  <w:rPr>
                    <w:rFonts w:ascii="宋体" w:hAnsi="宋体" w:cs="宋体" w:hint="eastAsia"/>
                    <w:sz w:val="28"/>
                    <w:szCs w:val="28"/>
                  </w:rPr>
                  <w:fldChar w:fldCharType="separate"/>
                </w:r>
                <w:r w:rsidR="00C24575">
                  <w:rPr>
                    <w:rFonts w:ascii="宋体" w:hAnsi="宋体" w:cs="宋体"/>
                    <w:noProof/>
                    <w:sz w:val="28"/>
                    <w:szCs w:val="28"/>
                  </w:rPr>
                  <w:t>1</w:t>
                </w:r>
                <w:r w:rsidR="007830A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4BB" w:rsidRDefault="007D04BB" w:rsidP="007830AF">
      <w:r>
        <w:separator/>
      </w:r>
    </w:p>
  </w:footnote>
  <w:footnote w:type="continuationSeparator" w:id="0">
    <w:p w:rsidR="007D04BB" w:rsidRDefault="007D04BB" w:rsidP="00783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3FFA7D5E"/>
    <w:rsid w:val="000475BD"/>
    <w:rsid w:val="00323D76"/>
    <w:rsid w:val="007830AF"/>
    <w:rsid w:val="007D04BB"/>
    <w:rsid w:val="009A4B57"/>
    <w:rsid w:val="00C24575"/>
    <w:rsid w:val="00C87BC1"/>
    <w:rsid w:val="00E42CA3"/>
    <w:rsid w:val="00EF1CE1"/>
    <w:rsid w:val="02380A4E"/>
    <w:rsid w:val="02C54CFB"/>
    <w:rsid w:val="042F174E"/>
    <w:rsid w:val="0751543E"/>
    <w:rsid w:val="0BE369DE"/>
    <w:rsid w:val="0C790CDC"/>
    <w:rsid w:val="0F9D48A9"/>
    <w:rsid w:val="0FC66F39"/>
    <w:rsid w:val="135B4974"/>
    <w:rsid w:val="19EF53F7"/>
    <w:rsid w:val="1C547AC8"/>
    <w:rsid w:val="20194FCD"/>
    <w:rsid w:val="211007F7"/>
    <w:rsid w:val="224D5C1E"/>
    <w:rsid w:val="28B53323"/>
    <w:rsid w:val="2A2F608A"/>
    <w:rsid w:val="2A483D38"/>
    <w:rsid w:val="2A844039"/>
    <w:rsid w:val="2CFE6EE4"/>
    <w:rsid w:val="2D725F92"/>
    <w:rsid w:val="302E782D"/>
    <w:rsid w:val="325C564C"/>
    <w:rsid w:val="36AE6775"/>
    <w:rsid w:val="38787F7C"/>
    <w:rsid w:val="39191BFA"/>
    <w:rsid w:val="3D671889"/>
    <w:rsid w:val="3D717517"/>
    <w:rsid w:val="3FBC61B7"/>
    <w:rsid w:val="3FFA7D5E"/>
    <w:rsid w:val="400F48F0"/>
    <w:rsid w:val="4AEF215E"/>
    <w:rsid w:val="4DA15956"/>
    <w:rsid w:val="4E7D2A86"/>
    <w:rsid w:val="501B3EB2"/>
    <w:rsid w:val="5027117E"/>
    <w:rsid w:val="52FA52E5"/>
    <w:rsid w:val="56C00D65"/>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3ABA32F"/>
  <w15:docId w15:val="{F0E547A7-BBE7-4C9A-9D05-983F3519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30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830AF"/>
    <w:pPr>
      <w:tabs>
        <w:tab w:val="center" w:pos="4153"/>
        <w:tab w:val="right" w:pos="8306"/>
      </w:tabs>
      <w:snapToGrid w:val="0"/>
      <w:jc w:val="left"/>
    </w:pPr>
    <w:rPr>
      <w:sz w:val="18"/>
    </w:rPr>
  </w:style>
  <w:style w:type="paragraph" w:styleId="a4">
    <w:name w:val="header"/>
    <w:basedOn w:val="a"/>
    <w:qFormat/>
    <w:rsid w:val="007830A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7830AF"/>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7830AF"/>
    <w:pPr>
      <w:spacing w:line="560" w:lineRule="exact"/>
      <w:jc w:val="center"/>
    </w:pPr>
    <w:rPr>
      <w:rFonts w:ascii="宋体" w:hAnsi="宋体" w:cs="宋体" w:hint="eastAsia"/>
      <w:sz w:val="44"/>
      <w:szCs w:val="44"/>
    </w:rPr>
  </w:style>
  <w:style w:type="paragraph" w:customStyle="1" w:styleId="a7">
    <w:name w:val="表字居中"/>
    <w:basedOn w:val="a"/>
    <w:qFormat/>
    <w:rsid w:val="007830AF"/>
    <w:pPr>
      <w:spacing w:line="560" w:lineRule="exact"/>
      <w:jc w:val="center"/>
    </w:pPr>
    <w:rPr>
      <w:rFonts w:ascii="宋体" w:hAnsi="宋体" w:cs="宋体"/>
      <w:szCs w:val="21"/>
    </w:rPr>
  </w:style>
  <w:style w:type="paragraph" w:customStyle="1" w:styleId="a8">
    <w:name w:val="一、"/>
    <w:basedOn w:val="a"/>
    <w:qFormat/>
    <w:rsid w:val="007830AF"/>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7830AF"/>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7830AF"/>
    <w:pPr>
      <w:spacing w:line="560" w:lineRule="exact"/>
      <w:jc w:val="left"/>
    </w:pPr>
    <w:rPr>
      <w:rFonts w:ascii="黑体" w:eastAsia="黑体" w:hAnsi="黑体" w:cs="黑体"/>
      <w:sz w:val="32"/>
      <w:szCs w:val="32"/>
    </w:rPr>
  </w:style>
  <w:style w:type="paragraph" w:customStyle="1" w:styleId="ab">
    <w:name w:val="正文字体"/>
    <w:basedOn w:val="a"/>
    <w:qFormat/>
    <w:rsid w:val="007830AF"/>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7830AF"/>
    <w:pPr>
      <w:spacing w:line="560" w:lineRule="exact"/>
      <w:jc w:val="center"/>
    </w:pPr>
    <w:rPr>
      <w:rFonts w:ascii="黑体" w:eastAsia="黑体" w:hAnsi="黑体" w:cs="黑体"/>
      <w:sz w:val="32"/>
      <w:szCs w:val="32"/>
    </w:rPr>
  </w:style>
  <w:style w:type="paragraph" w:customStyle="1" w:styleId="ad">
    <w:name w:val="（一）"/>
    <w:basedOn w:val="a"/>
    <w:rsid w:val="007830AF"/>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rsid w:val="007830AF"/>
    <w:pPr>
      <w:spacing w:line="560" w:lineRule="exact"/>
      <w:jc w:val="left"/>
    </w:pPr>
    <w:rPr>
      <w:rFonts w:ascii="宋体" w:hAnsi="宋体" w:cs="宋体"/>
      <w:szCs w:val="21"/>
    </w:rPr>
  </w:style>
  <w:style w:type="paragraph" w:customStyle="1" w:styleId="af">
    <w:name w:val="修改废止公布内容"/>
    <w:basedOn w:val="a"/>
    <w:qFormat/>
    <w:rsid w:val="007830AF"/>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7830AF"/>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7830AF"/>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7830AF"/>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7830AF"/>
    <w:pPr>
      <w:spacing w:line="560" w:lineRule="exact"/>
      <w:jc w:val="center"/>
    </w:pPr>
    <w:rPr>
      <w:rFonts w:ascii="宋体" w:hAnsi="宋体" w:cs="宋体"/>
      <w:sz w:val="32"/>
      <w:szCs w:val="32"/>
    </w:rPr>
  </w:style>
  <w:style w:type="paragraph" w:customStyle="1" w:styleId="af4">
    <w:name w:val="抬头"/>
    <w:basedOn w:val="ab"/>
    <w:qFormat/>
    <w:rsid w:val="007830AF"/>
    <w:pPr>
      <w:ind w:firstLineChars="0" w:firstLine="0"/>
      <w:jc w:val="left"/>
    </w:pPr>
  </w:style>
  <w:style w:type="paragraph" w:customStyle="1" w:styleId="af5">
    <w:name w:val="日期文号"/>
    <w:basedOn w:val="ab"/>
    <w:qFormat/>
    <w:rsid w:val="007830AF"/>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7830AF"/>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7830AF"/>
    <w:pPr>
      <w:spacing w:line="560" w:lineRule="exact"/>
      <w:jc w:val="center"/>
    </w:pPr>
    <w:rPr>
      <w:rFonts w:ascii="黑体" w:eastAsia="黑体" w:hAnsi="黑体" w:cs="黑体"/>
      <w:szCs w:val="21"/>
    </w:rPr>
  </w:style>
  <w:style w:type="character" w:customStyle="1" w:styleId="af7">
    <w:name w:val="条文"/>
    <w:basedOn w:val="a0"/>
    <w:qFormat/>
    <w:rsid w:val="007830AF"/>
    <w:rPr>
      <w:rFonts w:ascii="黑体" w:eastAsia="黑体" w:hAnsi="黑体" w:cs="黑体"/>
      <w:sz w:val="32"/>
      <w:szCs w:val="32"/>
    </w:rPr>
  </w:style>
  <w:style w:type="paragraph" w:styleId="af8">
    <w:name w:val="Date"/>
    <w:basedOn w:val="a"/>
    <w:next w:val="a"/>
    <w:link w:val="af9"/>
    <w:rsid w:val="00C24575"/>
    <w:pPr>
      <w:ind w:leftChars="2500" w:left="100"/>
    </w:pPr>
  </w:style>
  <w:style w:type="character" w:customStyle="1" w:styleId="af9">
    <w:name w:val="日期 字符"/>
    <w:basedOn w:val="a0"/>
    <w:link w:val="af8"/>
    <w:rsid w:val="00C245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36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9</TotalTime>
  <Pages>2</Pages>
  <Words>363</Words>
  <Characters>2073</Characters>
  <Application>Microsoft Office Word</Application>
  <DocSecurity>0</DocSecurity>
  <Lines>17</Lines>
  <Paragraphs>4</Paragraphs>
  <ScaleCrop>false</ScaleCrop>
  <Company>Newdaxie</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2017-11-02T10:19:00Z</dcterms:created>
  <dcterms:modified xsi:type="dcterms:W3CDTF">2025-11-21T02:46:00Z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